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91" w:rsidRPr="002A4E91" w:rsidRDefault="002A4E91" w:rsidP="002A4E91">
      <w:r w:rsidRPr="002A4E91">
        <w:t>Table 5. Logit-Model Estimation Results for the Probability of Belonging to a Specific Market Segment (t-statistic in Parenthesis)</w:t>
      </w:r>
    </w:p>
    <w:tbl>
      <w:tblPr>
        <w:tblW w:w="129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309"/>
        <w:gridCol w:w="1350"/>
        <w:gridCol w:w="1350"/>
        <w:gridCol w:w="1243"/>
        <w:gridCol w:w="1190"/>
      </w:tblGrid>
      <w:tr w:rsidR="002A4E91" w:rsidRPr="002A4E91" w:rsidTr="002D45DA">
        <w:trPr>
          <w:trHeight w:val="296"/>
          <w:jc w:val="center"/>
        </w:trPr>
        <w:tc>
          <w:tcPr>
            <w:tcW w:w="72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4E91" w:rsidRPr="002A4E91" w:rsidRDefault="002A4E91" w:rsidP="002A4E91">
            <w:pPr>
              <w:rPr>
                <w:b/>
                <w:bCs/>
              </w:rPr>
            </w:pPr>
            <w:r w:rsidRPr="002A4E91">
              <w:rPr>
                <w:b/>
                <w:bCs/>
              </w:rPr>
              <w:t>Variable Description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Estimated Parameter (t statistic)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91" w:rsidRPr="002A4E91" w:rsidRDefault="002A4E91" w:rsidP="00943047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Marginal Effects</w:t>
            </w:r>
            <w:bookmarkStart w:id="0" w:name="_GoBack"/>
            <w:bookmarkEnd w:id="0"/>
          </w:p>
        </w:tc>
      </w:tr>
      <w:tr w:rsidR="002A4E91" w:rsidRPr="002A4E91" w:rsidTr="002D45DA">
        <w:trPr>
          <w:trHeight w:val="296"/>
          <w:jc w:val="center"/>
        </w:trPr>
        <w:tc>
          <w:tcPr>
            <w:tcW w:w="72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Benefits Dominated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Concerns Dominated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Uncertain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  <w:rPr>
                <w:b/>
                <w:bCs/>
              </w:rPr>
            </w:pPr>
            <w:r w:rsidRPr="002A4E91">
              <w:rPr>
                <w:b/>
                <w:bCs/>
              </w:rPr>
              <w:t>Well Informed</w:t>
            </w:r>
          </w:p>
        </w:tc>
      </w:tr>
      <w:tr w:rsidR="002A4E91" w:rsidRPr="002A4E91" w:rsidTr="002D45DA">
        <w:trPr>
          <w:trHeight w:val="432"/>
          <w:jc w:val="center"/>
        </w:trPr>
        <w:tc>
          <w:tcPr>
            <w:tcW w:w="7247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rPr>
                <w:b/>
              </w:rPr>
            </w:pPr>
            <w:r w:rsidRPr="002A4E91">
              <w:rPr>
                <w:b/>
              </w:rPr>
              <w:t>Factors for the benefits-dominated market segment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 xml:space="preserve">Male Respondent Indicator (1 if respondent is male,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0.361</w:t>
            </w:r>
            <w:r w:rsidRPr="002A4E91">
              <w:br/>
              <w:t>(3.33)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0.0543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-0.0150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-0.0183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-0.0210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>University Respondent Indicator (1 if respondent is classified as a university respondent, 0 otherwise)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0.405</w:t>
            </w:r>
            <w:r w:rsidRPr="002A4E91">
              <w:br/>
              <w:t>(3.04)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0.0610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-0.0168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-0.0205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-0.0236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 xml:space="preserve">High Commute Distance Indicator (1 if respondent travels a one-way distance of 20 miles or more for their commute,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0.445</w:t>
            </w:r>
            <w:r w:rsidRPr="002A4E91">
              <w:br/>
              <w:t>(3.28)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0.0670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-0.0185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-0.0225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-0.0259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bottom w:val="nil"/>
            </w:tcBorders>
            <w:vAlign w:val="center"/>
          </w:tcPr>
          <w:p w:rsidR="002A4E91" w:rsidRPr="002A4E91" w:rsidRDefault="002A4E91" w:rsidP="002A4E91">
            <w:r w:rsidRPr="002A4E91">
              <w:t xml:space="preserve">Medium Overall Daily Travel Time Indicator (1 if respondent travels 45 minutes or less on an average for their total daily travel, 0 otherwise) </w:t>
            </w:r>
          </w:p>
        </w:tc>
        <w:tc>
          <w:tcPr>
            <w:tcW w:w="1127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0.250</w:t>
            </w:r>
            <w:r w:rsidRPr="002A4E91">
              <w:br/>
              <w:t>(2.31)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0.0377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-0.0104</w:t>
            </w:r>
          </w:p>
        </w:tc>
        <w:tc>
          <w:tcPr>
            <w:tcW w:w="10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-0.0127</w:t>
            </w:r>
          </w:p>
        </w:tc>
        <w:tc>
          <w:tcPr>
            <w:tcW w:w="11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-0.0146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top w:val="nil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r w:rsidRPr="002A4E91">
              <w:t>High Parking Time Indicator (1 if respondent spent 10 or more minutes on an average towards finding a parking spot during their commute, 0 otherwise)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0.223</w:t>
            </w:r>
            <w:r w:rsidRPr="002A4E91">
              <w:br/>
              <w:t>(1.75)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0.0337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-0.0093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-0.0113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-0.0130</w:t>
            </w:r>
          </w:p>
        </w:tc>
      </w:tr>
      <w:tr w:rsidR="002A4E91" w:rsidRPr="002A4E91" w:rsidTr="002D45DA">
        <w:trPr>
          <w:trHeight w:val="432"/>
          <w:jc w:val="center"/>
        </w:trPr>
        <w:tc>
          <w:tcPr>
            <w:tcW w:w="7247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r w:rsidRPr="002A4E91">
              <w:rPr>
                <w:b/>
              </w:rPr>
              <w:t>Factors for the concerns-dominated market segment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>Constant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1.147</w:t>
            </w:r>
            <w:r w:rsidRPr="002A4E91">
              <w:br/>
              <w:t>(7.23)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 xml:space="preserve">Baby Boomer Indicator (1 if respondent is 50 to 64 years old,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0.359</w:t>
            </w:r>
            <w:r w:rsidRPr="002A4E91">
              <w:br/>
              <w:t>(3.31)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-0.0149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0.0617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-0.0227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-0.0241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 xml:space="preserve">High Income Household Indicator (1 if respondent is a member of a household with an annual income $150,000 or more,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-0.263</w:t>
            </w:r>
            <w:r w:rsidRPr="002A4E91">
              <w:br/>
              <w:t>(-1.77)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0.0109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-0.0453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0.0166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0.0177</w:t>
            </w:r>
          </w:p>
        </w:tc>
      </w:tr>
      <w:tr w:rsidR="002A4E91" w:rsidRPr="002A4E91" w:rsidTr="002D45DA">
        <w:trPr>
          <w:trHeight w:val="648"/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 xml:space="preserve">Graduate Degree Indicator (1 if respondent’s highest educational qualification is a graduate degree,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-0.239</w:t>
            </w:r>
            <w:r w:rsidRPr="002A4E91">
              <w:br/>
              <w:t>(-2.21)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0.099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-0.0411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0.0151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0.0160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 xml:space="preserve">Zero Vehicle Ownership Indicator (1 if respondent is a member of a household that owns more than three vehicles,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0.353</w:t>
            </w:r>
            <w:r w:rsidRPr="002A4E91">
              <w:br/>
              <w:t>(2.14)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-0.0147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0.0607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-0.0223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-0.0237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lastRenderedPageBreak/>
              <w:t xml:space="preserve">Recent New Vehicle Purchase Category Indicator (1 if respondent most recently purchased or leased a new vehicle,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-0.211</w:t>
            </w:r>
            <w:r w:rsidRPr="002A4E91">
              <w:br/>
              <w:t>(-2.11)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-0.0147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0.0607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-0.0223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-0.0237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bottom w:val="nil"/>
            </w:tcBorders>
            <w:vAlign w:val="center"/>
          </w:tcPr>
          <w:p w:rsidR="002A4E91" w:rsidRPr="002A4E91" w:rsidRDefault="002A4E91" w:rsidP="002A4E91">
            <w:r w:rsidRPr="002A4E91">
              <w:t xml:space="preserve">Drive Alone Commuter Indicator (1 if respondent typically drives alone to their commute, 0 otherwise) </w:t>
            </w:r>
          </w:p>
        </w:tc>
        <w:tc>
          <w:tcPr>
            <w:tcW w:w="1127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-0.414</w:t>
            </w:r>
            <w:r w:rsidRPr="002A4E91">
              <w:br/>
              <w:t>(-3.77)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0.0172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-0.0712</w:t>
            </w:r>
          </w:p>
        </w:tc>
        <w:tc>
          <w:tcPr>
            <w:tcW w:w="10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0.0262</w:t>
            </w:r>
          </w:p>
        </w:tc>
        <w:tc>
          <w:tcPr>
            <w:tcW w:w="11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0.0278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top w:val="nil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r w:rsidRPr="002A4E91">
              <w:t>Major Injury Severity Indicator (1 if the respondent was involved in one or more crashes, and respondent-involved crashes resulted in major injury, 0 otherwise)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-0.295</w:t>
            </w:r>
            <w:r w:rsidRPr="002A4E91">
              <w:br/>
              <w:t>(-2.21)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0.0123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-0.0508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0.0187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0.0199</w:t>
            </w:r>
          </w:p>
        </w:tc>
      </w:tr>
      <w:tr w:rsidR="002A4E91" w:rsidRPr="002A4E91" w:rsidTr="002D45DA">
        <w:trPr>
          <w:trHeight w:val="432"/>
          <w:jc w:val="center"/>
        </w:trPr>
        <w:tc>
          <w:tcPr>
            <w:tcW w:w="7247" w:type="dxa"/>
            <w:vAlign w:val="bottom"/>
          </w:tcPr>
          <w:p w:rsidR="002A4E91" w:rsidRPr="002A4E91" w:rsidRDefault="002A4E91" w:rsidP="002A4E91">
            <w:pPr>
              <w:rPr>
                <w:b/>
              </w:rPr>
            </w:pPr>
            <w:r w:rsidRPr="002A4E91">
              <w:rPr>
                <w:b/>
              </w:rPr>
              <w:t>Factors for the uncertain market segment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trHeight w:val="297"/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>Constant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0.968</w:t>
            </w:r>
            <w:r w:rsidRPr="002A4E91">
              <w:br/>
              <w:t>(7.41)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 xml:space="preserve">Generation X Indicator (1 if respondent is 35 to 49 years old,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-0.336</w:t>
            </w:r>
            <w:r w:rsidRPr="002A4E91">
              <w:br/>
              <w:t>(-2.22)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0.0170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0.0213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-0.0660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0.0276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bottom w:val="nil"/>
            </w:tcBorders>
            <w:vAlign w:val="center"/>
          </w:tcPr>
          <w:p w:rsidR="002A4E91" w:rsidRPr="002A4E91" w:rsidRDefault="002A4E91" w:rsidP="002A4E91">
            <w:r w:rsidRPr="002A4E91">
              <w:t xml:space="preserve">Very High Licensed Driver Household Indicator (1 if respondent is a member of a household that has 3 or more licensed drivers, 0 otherwise) </w:t>
            </w:r>
          </w:p>
        </w:tc>
        <w:tc>
          <w:tcPr>
            <w:tcW w:w="1127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-0.274</w:t>
            </w:r>
            <w:r w:rsidRPr="002A4E91">
              <w:br/>
              <w:t>(-2.32)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0.0139</w:t>
            </w:r>
          </w:p>
        </w:tc>
        <w:tc>
          <w:tcPr>
            <w:tcW w:w="1161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0.0173</w:t>
            </w:r>
          </w:p>
        </w:tc>
        <w:tc>
          <w:tcPr>
            <w:tcW w:w="10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-0.0537</w:t>
            </w:r>
          </w:p>
        </w:tc>
        <w:tc>
          <w:tcPr>
            <w:tcW w:w="1172" w:type="dxa"/>
            <w:tcBorders>
              <w:bottom w:val="nil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0.0225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tcBorders>
              <w:top w:val="nil"/>
              <w:bottom w:val="single" w:sz="4" w:space="0" w:color="auto"/>
            </w:tcBorders>
            <w:vAlign w:val="center"/>
          </w:tcPr>
          <w:p w:rsidR="002A4E91" w:rsidRPr="002A4E91" w:rsidRDefault="002A4E91" w:rsidP="002A4E91">
            <w:r w:rsidRPr="002A4E91">
              <w:t xml:space="preserve">Non-Commuter Indicator (1 if respondent does not undertake a commute trip, 0 otherwise) 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0.257</w:t>
            </w:r>
            <w:r w:rsidRPr="002A4E91">
              <w:br/>
              <w:t>(2.23)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-0.0130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-0.0163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0.0505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  <w:r w:rsidRPr="002A4E91">
              <w:t>-0.0212</w:t>
            </w:r>
          </w:p>
        </w:tc>
      </w:tr>
      <w:tr w:rsidR="002A4E91" w:rsidRPr="002A4E91" w:rsidTr="002D45DA">
        <w:trPr>
          <w:trHeight w:val="432"/>
          <w:jc w:val="center"/>
        </w:trPr>
        <w:tc>
          <w:tcPr>
            <w:tcW w:w="7247" w:type="dxa"/>
            <w:tcBorders>
              <w:top w:val="single" w:sz="4" w:space="0" w:color="auto"/>
            </w:tcBorders>
            <w:vAlign w:val="bottom"/>
          </w:tcPr>
          <w:p w:rsidR="002A4E91" w:rsidRPr="002A4E91" w:rsidRDefault="002A4E91" w:rsidP="002A4E91">
            <w:r w:rsidRPr="002A4E91">
              <w:rPr>
                <w:b/>
              </w:rPr>
              <w:t>Factors for the well-informed market segment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>Constant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0.844</w:t>
            </w:r>
            <w:r w:rsidRPr="002A4E91">
              <w:br/>
              <w:t>(6.77)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</w:tcPr>
          <w:p w:rsidR="002A4E91" w:rsidRPr="002A4E91" w:rsidRDefault="002A4E91" w:rsidP="002A4E91">
            <w:r w:rsidRPr="002A4E91">
              <w:t xml:space="preserve">Millennial Indicator (1 if respondent is less than 35 years old,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0.603</w:t>
            </w:r>
            <w:r w:rsidRPr="002A4E91">
              <w:br/>
              <w:t>(5.76)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-0.0352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-0.0405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-0.0486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0.1253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 xml:space="preserve">High Commute Time Indicator (1 if respondent spent a total of 60 minutes or more on an average for their one-way commute, 0 otherwise) </w:t>
            </w:r>
          </w:p>
        </w:tc>
        <w:tc>
          <w:tcPr>
            <w:tcW w:w="1127" w:type="dxa"/>
          </w:tcPr>
          <w:p w:rsidR="002A4E91" w:rsidRPr="002A4E91" w:rsidRDefault="002A4E91" w:rsidP="002A4E91">
            <w:pPr>
              <w:jc w:val="center"/>
            </w:pPr>
            <w:r w:rsidRPr="002A4E91">
              <w:t>0.339</w:t>
            </w:r>
            <w:r w:rsidRPr="002A4E91">
              <w:br/>
              <w:t>(1.69)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-0.0198</w:t>
            </w:r>
          </w:p>
        </w:tc>
        <w:tc>
          <w:tcPr>
            <w:tcW w:w="1161" w:type="dxa"/>
          </w:tcPr>
          <w:p w:rsidR="002A4E91" w:rsidRPr="002A4E91" w:rsidRDefault="002A4E91" w:rsidP="002A4E91">
            <w:pPr>
              <w:jc w:val="center"/>
            </w:pPr>
            <w:r w:rsidRPr="002A4E91">
              <w:t>-0.0228</w:t>
            </w:r>
          </w:p>
        </w:tc>
        <w:tc>
          <w:tcPr>
            <w:tcW w:w="1072" w:type="dxa"/>
          </w:tcPr>
          <w:p w:rsidR="002A4E91" w:rsidRPr="002A4E91" w:rsidRDefault="002A4E91" w:rsidP="002A4E91">
            <w:pPr>
              <w:jc w:val="center"/>
            </w:pPr>
            <w:r w:rsidRPr="002A4E91">
              <w:t>-0.0278</w:t>
            </w:r>
          </w:p>
        </w:tc>
        <w:tc>
          <w:tcPr>
            <w:tcW w:w="1172" w:type="dxa"/>
          </w:tcPr>
          <w:p w:rsidR="002A4E91" w:rsidRPr="002A4E91" w:rsidRDefault="002A4E91" w:rsidP="002A4E91">
            <w:pPr>
              <w:jc w:val="center"/>
            </w:pPr>
            <w:r w:rsidRPr="002A4E91">
              <w:t>0.0704</w:t>
            </w:r>
          </w:p>
        </w:tc>
      </w:tr>
      <w:tr w:rsidR="002A4E91" w:rsidRPr="002A4E91" w:rsidTr="002D45DA">
        <w:trPr>
          <w:trHeight w:val="295"/>
          <w:jc w:val="center"/>
        </w:trPr>
        <w:tc>
          <w:tcPr>
            <w:tcW w:w="7247" w:type="dxa"/>
            <w:tcBorders>
              <w:top w:val="single" w:sz="4" w:space="0" w:color="auto"/>
            </w:tcBorders>
            <w:vAlign w:val="center"/>
          </w:tcPr>
          <w:p w:rsidR="002A4E91" w:rsidRPr="002A4E91" w:rsidRDefault="002A4E91" w:rsidP="002A4E91">
            <w:r w:rsidRPr="002A4E91">
              <w:t>Number of observations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</w:tcBorders>
            <w:vAlign w:val="center"/>
          </w:tcPr>
          <w:p w:rsidR="002A4E91" w:rsidRPr="002A4E91" w:rsidRDefault="002A4E91" w:rsidP="002A4E91">
            <w:pPr>
              <w:jc w:val="center"/>
            </w:pPr>
            <w:r w:rsidRPr="002A4E91">
              <w:t>2477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>Log-likelihood at constant</w:t>
            </w:r>
          </w:p>
        </w:tc>
        <w:tc>
          <w:tcPr>
            <w:tcW w:w="5693" w:type="dxa"/>
            <w:gridSpan w:val="5"/>
            <w:vAlign w:val="center"/>
          </w:tcPr>
          <w:p w:rsidR="002A4E91" w:rsidRPr="002A4E91" w:rsidRDefault="002A4E91" w:rsidP="002A4E91">
            <w:pPr>
              <w:jc w:val="center"/>
            </w:pPr>
            <w:r w:rsidRPr="002A4E91">
              <w:t>-3393.29</w:t>
            </w:r>
          </w:p>
        </w:tc>
      </w:tr>
      <w:tr w:rsidR="002A4E91" w:rsidRPr="002A4E91" w:rsidTr="002D45DA">
        <w:trPr>
          <w:jc w:val="center"/>
        </w:trPr>
        <w:tc>
          <w:tcPr>
            <w:tcW w:w="7247" w:type="dxa"/>
            <w:vAlign w:val="center"/>
          </w:tcPr>
          <w:p w:rsidR="002A4E91" w:rsidRPr="002A4E91" w:rsidRDefault="002A4E91" w:rsidP="002A4E91">
            <w:r w:rsidRPr="002A4E91">
              <w:t>Log-likelihood at convergence</w:t>
            </w:r>
          </w:p>
        </w:tc>
        <w:tc>
          <w:tcPr>
            <w:tcW w:w="5693" w:type="dxa"/>
            <w:gridSpan w:val="5"/>
            <w:vAlign w:val="center"/>
          </w:tcPr>
          <w:p w:rsidR="002A4E91" w:rsidRPr="002A4E91" w:rsidRDefault="002A4E91" w:rsidP="002A4E91">
            <w:pPr>
              <w:jc w:val="center"/>
            </w:pPr>
            <w:r w:rsidRPr="002A4E91">
              <w:t>-3319.39</w:t>
            </w:r>
          </w:p>
        </w:tc>
      </w:tr>
    </w:tbl>
    <w:p w:rsidR="00A10E88" w:rsidRDefault="00943047"/>
    <w:sectPr w:rsidR="00A10E88" w:rsidSect="002A4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91"/>
    <w:rsid w:val="00040C9C"/>
    <w:rsid w:val="000A6596"/>
    <w:rsid w:val="002A4E91"/>
    <w:rsid w:val="0055312E"/>
    <w:rsid w:val="00681C40"/>
    <w:rsid w:val="00943047"/>
    <w:rsid w:val="00E31EBD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18B9-914A-46DD-9DC0-9828B79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Mannering, Fred</dc:creator>
  <cp:keywords/>
  <dc:description/>
  <cp:lastModifiedBy>Mannering, Fred</cp:lastModifiedBy>
  <cp:revision>2</cp:revision>
  <dcterms:created xsi:type="dcterms:W3CDTF">2018-11-30T17:03:00Z</dcterms:created>
  <dcterms:modified xsi:type="dcterms:W3CDTF">2018-11-30T17:20:00Z</dcterms:modified>
</cp:coreProperties>
</file>